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475</w:t>
      </w:r>
    </w:p>
    <w:p>
      <w:r>
        <w:t>Bundesgericht (BGE), 1980-01-24, DE</w:t>
      </w:r>
    </w:p>
    <w:p>
      <w:r>
        <w:rPr>
          <w:b/>
        </w:rPr>
        <w:t xml:space="preserve">Quelle: </w:t>
      </w:r>
      <w:r>
        <w:t>https://mcp.opencaselaw.ch/entscheid/bge_134 III 475</w:t>
      </w:r>
    </w:p>
    <w:p>
      <w:r>
        <w:t>FR: ATF 134 III 475</w:t>
      </w:r>
    </w:p>
    <w:p>
      <w:r>
        <w:t>IT: DTF 134 III 475</w:t>
      </w:r>
    </w:p>
    <w:p>
      <w:pPr>
        <w:pStyle w:val="Heading2"/>
      </w:pPr>
      <w:r>
        <w:t>Regeste</w:t>
      </w:r>
    </w:p>
    <w:p>
      <w:r>
        <w:t>Regeste Gerichtsstand bei Mietstreitigkeiten über unbewegliche Sachen im internationalen Verhältnis (Art. 16 Ziff. 1 lit. a LugÜ; Art. 112 IPRG; Art. 23 GestG). Die örtliche Zuständigkeit bestimmt sich nach den allgemeinen Vertragsgerichtsständen der Art. 112 f. IPRG; Art. 23 GestG findet keine analoge Anwendung (E. 4.2).</w:t>
      </w:r>
    </w:p>
    <w:p>
      <w:pPr>
        <w:pStyle w:val="Heading2"/>
      </w:pPr>
      <w:r>
        <w:t>Erwägungen</w:t>
      </w:r>
    </w:p>
    <w:p>
      <w:r>
        <w:rPr>
          <w:b/>
        </w:rPr>
        <w:t>E. 4</w:t>
      </w:r>
    </w:p>
    <w:p>
      <w:r>
        <w:t>Die Beschwerdegegner haben sich zu einer Interessengemeinschaft zusammengeschlossen, um allfällige Ansprüche gegen die Beschwerdeführer gemeinsam durchzusetzen. Es liegt keine notwendige Streitgenossenschaft vor, handelt es sich bei den Teilforderungen doch um selbständig klagbare Ansprüche. Während die Beklagten ihren Sitz bzw. ihren Wohnsitz in der Schweiz haben, hat der Grossteil der Beschwerdegegner Wohnsitz im Ausland. Nach der bundesgerichtlichen Rechtsprechung liegt immer ein internationales Verhältnis vor, wenn eine der Parteien ihren Sitz oder Wohnsitz nicht in der Schweiz hat ( BGE 131 III 76 E. 2 S. 78 ff.). Entgegen der von der Vorinstanz vertretenen Auffassung muss für die Beurteilung des Gerichtsstandes deshalb mit der ersten Instanz danach unterschieden werden, ob ein Inlandsachverhalt oder ein internationaler Sachverhalt gegeben ist:</w:t>
      </w:r>
    </w:p>
    <w:p>
      <w:r>
        <w:rPr>
          <w:b/>
        </w:rPr>
        <w:t>E. 4.1</w:t>
      </w:r>
    </w:p>
    <w:p>
      <w:r>
        <w:t>Die Beschwerdegegner 5, 8, 13, 17, 24, 27 und 31 haben ihren Wohnsitz bzw. ihren Sitz in der Schweiz. Für ihre Klagen BGE 134 III 475 S. 478 bestimmt sich die örtliche Zuständigkeit nach dem Gerichtsstandsgesetz (GestG; SR 272). Wie die Vorinstanz zu Recht festgehalten hat, ergibt sich für Ziff. 1 des Rechtsbegehrens der Beschwerdegegner (Mietzins) gestützt auf Art. 23 GestG der Gerichtsstand am Ort der gelegenen Sache. Mit Bezug auf Ziff. 2 ihres Begehrens (Gewinnherausgabe) folgt die örtliche Zuständigkeit des Bezirksgerichts Surselva aus Art. 7 Abs. 2 GestG (objektive Klagehäufung). Soweit die Beschwerdegegner in Ziff. 4a ihres Rechtsbegehrens vom Beschwerdeführer 2 Schadenersatz wegen widerrechtlicher Inanspruchannahme ihres Eigentums verlangen, stellt Art. 25 GestG den Gerichtsstand am Erfolgsort zur Verfügung, woraus sich wiederum die Zuständigkeit des Bezirksgerichts Surselva ergibt.</w:t>
      </w:r>
    </w:p>
    <w:p>
      <w:r>
        <w:rPr>
          <w:b/>
        </w:rPr>
        <w:t>E. 4.2</w:t>
      </w:r>
    </w:p>
    <w:p>
      <w:r>
        <w:t>Die übrigen Beschwerdegegner haben ihren Wohnsitz in Deutschland, in Österreich oder in Spanien. Für ihre Klagen bestimmt sich die Frage der gerichtlichen Zuständigkeit nach dem LugÜ (SR 0.275.11).</w:t>
      </w:r>
    </w:p>
    <w:p>
      <w:r>
        <w:rPr>
          <w:b/>
        </w:rPr>
        <w:t>E. 4.2.1</w:t>
      </w:r>
    </w:p>
    <w:p>
      <w:r>
        <w:t>Mit Bezug auf Ziff. 1 des Rechtsbegehrens der Beschwerdegegner (Mietzins) kommt Art. 16 Ziff. 1 lit. a LugÜ zur Anwendung (Urteil 4C.334/2002 vom 3. Februar 2003, E. 4.2; vgl. auch KROPHOLLER, Europäisches Zivilprozessrecht, Kommentar, 8. Aufl. 2005, N. 25 zu Art. 22 EuGVVO mit Hinweis auf die Rechtsprechung des EuGH zur Parallelbestimmung des EuGVÜ). Demnach sind die Gerichte des Vertragsstaates, in dem die unbewegliche Sache belegen ist, für die Klage ausschliesslich zuständig. Da die Norm lediglich die internationale Zuständigkeit regelt, richtet sich die örtliche Zuständigkeit für die Schweiz nach dem IPRG (KROPHOLLER, a.a.O., N. 1 zu Art. 22 EuGVVO; GEIMER/SCHÜTZE, Europäisches Zivilverfahrensrecht, Kommentar, 2. Aufl. 2004, N. 20 zu Art. 22 EuGVVO; MYRIAM A. GEHRI, Neuerungen bei den internationalen Vertragsgerichtsständen, in: Karl Spühler [Hrsg.], Internationales Zivilprozess- und Verfahrensrecht II, S. 5/20). Dieses kennt keinen speziellen Gerichtsstand für Mietstreitigkeiten, womit die allgemeinen Vertragsgerichtsstände Anwendung finden. Gestützt auf Art. 112 Abs. 1 IPRG sind grundsätzlich die schweizerischen Gerichte am Wohnsitz des Beklagten oder, wenn ein solcher fehlt, diejenigen an seinem gewöhnlichen Aufenthalt zuständig; hat der Beklagte weder Wohnsitz noch gewöhnlichen Aufenthalt in der Schweiz, ist aber die Leistung in der Schweiz zu erbringen, kann gemäss Art. 113 IPRG am Erfüllungsort geklagt werden. Es ist unbefriedigend, dass das IPRG bei internationalen Sachverhalten - anders als das GestG bei Inlandsachverhalten - für Klagen aus Miete von Immobilien keinen Gerichtsstand BGE 134 III 475 S. 479 am Ort der gelegenen Sache vorsieht. Die Lehre äussert sich dazu denn auch überwiegend kritisch (vgl. etwa FRIDOLIN WALTHER, in: Kellerhals/von Werdt/Güngerich [Hrsg.], Gerichtsstandsgesetz, Kommentar zum Bundesgesetz über den Gerichtsstand in Zivilsachen, 2. Aufl. 2005, N. 17 zu Art. 23 GestG ; BALZ GROSS, in: Müller/Wirth [Hrsg.], Gerichtsstandsgesetz, Kommentar zum Bundesgesetz über den Gerichtsstand in Zivilsachen, N. 115 zu Art. 23 GestG ; ROGER WEBER, Basler Kommentar, Obligationenrecht I, 4. Aufl. 2007, N. 6 der Vorbem. vor Art. 253-274g OR ; sowie [noch zu Art. 274b aOR] HIGI, Zürcher Kommentar, N. 248 und 268 der Vorbem. zu Art. 253-274g OR und FRANÇOIS KNOEPFLER, Que reste-t-il de l'autonomie de la volonté en matière de bail immobilier international?, in: Rechtskollisionen, Festschrift für Anton Heini zum 65. Geburtstag, Zürich 1995, S. 239/250 f.). Da das Gerichtsstandsgesetz gemäss seinem Art. 1 Abs. 1 die örtliche Zuständigkeit in Zivilsachen jedoch ausdrücklich nur für den Fall regelt, dass kein internationales Verhältnis vorliegt, kommt de lege lata eine analoge Anwendung von Art. 23 GestG nicht in Betracht; die Einführung des Gerichtsstands am Ort der gelegenen Sache für Klagen aus Miete von Immobilien bei internationalen Sachverhalten kann nur durch den Gesetzgeber vorgenommen werden (vgl. auch NOËLLE KAISER JOB, in: Spühler/Tenchio/Imfanger [Hrsg.], Basler Kommentar zum Schweizerischen Zivilprozessrecht, Bundesgesetz über den Gerichtsstand in Zivilsachen [GestG], N. 26 zu Art. 23 GestG , wonach in der Beratung der nationalrätlichen Rechtskommission Einigkeit darüber bestand, dass auch Art. 23 Abs. 1 GestG nur für Binnenverhältnisse gelten soll; GROSS, a.a.O., N. 115 zu Art. 23 GestG ; WEBER, a.a.O., N. 6 der Vorbem. vor Art. 253-274g OR ; a.M. WALTHER, a.a.O., N. 17 zu Art. 23 GestG ; SVIT-Kommentar, 3. Aufl. 2008, N. 48 ff. der Vorbem. zu Art. 253-274g OR und N. 22 zu Art. 21 und 23 GestG ). Die Vorinstanz hat die Zuständigkeit des Bezirksgerichts Surselva für Ziff. 1 des Rechtsbegehrens zu Unrecht bejaht.</w:t>
      </w:r>
    </w:p>
    <w:p>
      <w:r>
        <w:rPr>
          <w:b/>
        </w:rPr>
        <w:t>E. 4.2.2</w:t>
      </w:r>
    </w:p>
    <w:p>
      <w:r>
        <w:t>Für die Ziff. 2 und 4a des Rechtsbegehrens der Beschwerdegegner (Ansprüche aus ungerechtfertigter Bereicherung bzw. aus unerlaubter Handlung) ergibt sich die örtliche Zuständigkeit aus Art. 2 LugÜ in Verbindung mit Art. 127 und Art. 129 Abs. 1 IPRG . Damit sind auch für die Beurteilung dieser Ansprüche die Gerichte am Beklagtenwohnsitz zuständig. Eine Zuständigkeit des Bezirksgerichts Surselva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